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r>
        <w:rPr>
          <w:rFonts w:ascii="Arial" w:hAnsi="Arial" w:eastAsia="Arial" w:cs="Arial"/>
          <w:b/>
          <w:sz w:val="20"/>
          <w:szCs w:val="20"/>
        </w:rPr>
      </w:r>
    </w:p>
    <w:tbl>
      <w:tblPr>
        <w:tblStyle w:val="988"/>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2. Development of the project design and cost estimation documentation (проєктно-кошторисна документація, ПКД) for the overhaul of the Mena Gymnasium of the Mena City Council with energy efficiency measures and creation of a new educational space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w:t>
            </w:r>
            <w:r>
              <w:rPr>
                <w:rFonts w:ascii="Arial" w:hAnsi="Arial" w:eastAsia="Arial" w:cs="Arial"/>
                <w:sz w:val="20"/>
                <w:szCs w:val="20"/>
                <w:rtl w:val="0"/>
              </w:rPr>
              <w:t xml:space="preserve">September 2025 – March </w:t>
            </w:r>
            <w:r>
              <w:rPr>
                <w:rFonts w:ascii="Arial" w:hAnsi="Arial" w:eastAsia="Arial" w:cs="Arial"/>
                <w:sz w:val="20"/>
                <w:szCs w:val="20"/>
                <w:rtl w:val="0"/>
              </w:rPr>
              <w:t xml:space="preserve">2026</w:t>
            </w:r>
            <w:r>
              <w:rPr>
                <w:rFonts w:ascii="Arial" w:hAnsi="Arial" w:eastAsia="Arial" w:cs="Arial"/>
                <w:sz w:val="20"/>
                <w:szCs w:val="20"/>
              </w:rPr>
            </w:r>
            <w:r>
              <w:rPr>
                <w:rFonts w:ascii="Arial" w:hAnsi="Arial" w:eastAsia="Arial" w:cs="Arial"/>
                <w:sz w:val="20"/>
                <w:szCs w:val="20"/>
              </w:rPr>
            </w:r>
          </w:p>
        </w:tc>
      </w:tr>
    </w:tbl>
    <w:p>
      <w:pPr>
        <w:pStyle w:val="784"/>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Fonts w:ascii="Arial" w:hAnsi="Arial" w:eastAsia="Arial" w:cs="Arial"/>
          <w:b/>
          <w:i w:val="0"/>
          <w:smallCaps w:val="0"/>
          <w:strike w:val="0"/>
          <w:color w:val="0070c0"/>
          <w:sz w:val="20"/>
          <w:szCs w:val="20"/>
          <w:u w:val="none"/>
          <w:shd w:val="clear" w:color="auto" w:fill="auto"/>
          <w:vertAlign w:val="baseline"/>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Style w:val="784"/>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r>
        <w:rPr>
          <w:rFonts w:ascii="Arial" w:hAnsi="Arial" w:eastAsia="Arial" w:cs="Arial"/>
          <w:sz w:val="20"/>
          <w:szCs w:val="20"/>
        </w:rPr>
      </w:r>
    </w:p>
    <w:p>
      <w:pPr>
        <w:pStyle w:val="784"/>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purpose of the assignment is to support Menska hromada in the process</w:t>
      </w:r>
      <w:r>
        <w:rPr>
          <w:rFonts w:ascii="Arial" w:hAnsi="Arial" w:eastAsia="Arial" w:cs="Arial"/>
          <w:sz w:val="20"/>
          <w:szCs w:val="20"/>
          <w:rtl w:val="0"/>
        </w:rPr>
        <w:t xml:space="preserve"> of development of the full package of project design and cost estimation documentation (проєктно-кошторисна документація, ПКД) for the project of major overhaul of the Mena Gymnasium with energy efficiency measures and creation of a new education space.  </w:t>
      </w:r>
      <w:r>
        <w:rPr>
          <w:rFonts w:ascii="Arial" w:hAnsi="Arial" w:eastAsia="Arial" w:cs="Arial"/>
          <w:sz w:val="20"/>
          <w:szCs w:val="20"/>
        </w:rPr>
      </w:r>
      <w:r>
        <w:rPr>
          <w:rFonts w:ascii="Arial" w:hAnsi="Arial" w:eastAsia="Arial" w:cs="Arial"/>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specific objective of the assignment is to develop a complete and compliant set of project design and </w:t>
      </w:r>
      <w:r>
        <w:rPr>
          <w:rFonts w:ascii="Arial" w:hAnsi="Arial" w:eastAsia="Arial" w:cs="Arial"/>
          <w:sz w:val="20"/>
          <w:szCs w:val="20"/>
          <w:rtl w:val="0"/>
        </w:rPr>
        <w:t xml:space="preserve">cost estimation documentation (ПКД) for the major overhaul of the Mena Gymnasium, in accordance with Ukrainian building regulations and civil defence standards. The structure expected to be renewed is the Mena Gymnasium and will therefore serve as the new </w:t>
      </w:r>
      <w:r>
        <w:rPr>
          <w:rFonts w:ascii="Arial" w:hAnsi="Arial" w:eastAsia="Arial" w:cs="Arial"/>
          <w:sz w:val="20"/>
          <w:szCs w:val="20"/>
          <w:rtl w:val="0"/>
        </w:rPr>
        <w:t xml:space="preserve">and improved educational institution for 600 students in the Hromada. The developed set of documentation must be delivered in the form and under the standards which will allow the Hromada to publish the documentation for tendering or funding applications. </w:t>
      </w:r>
      <w:r>
        <w:rPr>
          <w:rFonts w:ascii="Arial" w:hAnsi="Arial" w:eastAsia="Arial" w:cs="Arial"/>
          <w:sz w:val="20"/>
          <w:szCs w:val="20"/>
        </w:rPr>
      </w:r>
      <w:r>
        <w:rPr>
          <w:rFonts w:ascii="Arial" w:hAnsi="Arial" w:eastAsia="Arial" w:cs="Arial"/>
          <w:sz w:val="20"/>
          <w:szCs w:val="20"/>
        </w:rPr>
      </w:r>
    </w:p>
    <w:p>
      <w:pPr>
        <w:pStyle w:val="784"/>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r>
        <w:rPr>
          <w:rFonts w:ascii="Arial" w:hAnsi="Arial" w:eastAsia="Arial" w:cs="Arial"/>
          <w:sz w:val="20"/>
          <w:szCs w:val="20"/>
        </w:rPr>
      </w:r>
    </w:p>
    <w:tbl>
      <w:tblPr>
        <w:tblStyle w:val="989"/>
        <w:tblW w:w="90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954"/>
        <w:gridCol w:w="5108"/>
        <w:tblGridChange w:id="1">
          <w:tblGrid>
            <w:gridCol w:w="3954"/>
            <w:gridCol w:w="5108"/>
          </w:tblGrid>
        </w:tblGridChange>
      </w:tblGrid>
      <w:tr>
        <w:trPr>
          <w:cantSplit w:val="false"/>
          <w:trHeight w:val="567"/>
        </w:trPr>
        <w:tc>
          <w:tcPr>
            <w:tcBorders/>
            <w:vAlign w:val="center"/>
            <w:textDirection w:val="lrTb"/>
            <w:noWrap w:val="false"/>
          </w:tcPr>
          <w:p>
            <w:pPr>
              <w:pBdr/>
              <w:spacing/>
              <w:ind/>
              <w:rPr>
                <w:rFonts w:ascii="Arial" w:hAnsi="Arial" w:cs="Arial"/>
                <w:i/>
                <w:sz w:val="20"/>
                <w:szCs w:val="20"/>
                <w:u w:val="single"/>
              </w:rPr>
            </w:pPr>
            <w:r>
              <w:rPr>
                <w:rFonts w:ascii="Arial" w:hAnsi="Arial" w:eastAsia="Arial" w:cs="Arial"/>
                <w:b/>
                <w:sz w:val="20"/>
                <w:szCs w:val="20"/>
                <w:rtl w:val="0"/>
              </w:rPr>
              <w:t xml:space="preserve">List of Key Data and Requirements</w:t>
            </w:r>
            <w:r>
              <w:rPr>
                <w:rFonts w:ascii="Arial" w:hAnsi="Arial" w:eastAsia="Arial" w:cs="Arial"/>
                <w:i/>
                <w:sz w:val="20"/>
                <w:szCs w:val="20"/>
                <w:u w:val="single"/>
              </w:rPr>
            </w:r>
            <w:r>
              <w:rPr>
                <w:rFonts w:ascii="Arial" w:hAnsi="Arial" w:cs="Arial"/>
                <w:i/>
                <w:sz w:val="20"/>
                <w:szCs w:val="20"/>
                <w:u w:val="single"/>
              </w:rPr>
            </w:r>
          </w:p>
        </w:tc>
        <w:tc>
          <w:tcPr>
            <w:tcBorders/>
            <w:vAlign w:val="center"/>
            <w:textDirection w:val="lrTb"/>
            <w:noWrap w:val="false"/>
          </w:tcPr>
          <w:p>
            <w:pPr>
              <w:pBdr/>
              <w:spacing/>
              <w:ind/>
              <w:rPr>
                <w:rFonts w:ascii="Arial" w:hAnsi="Arial" w:cs="Arial"/>
                <w:i/>
                <w:sz w:val="20"/>
                <w:szCs w:val="20"/>
                <w:u w:val="single"/>
              </w:rPr>
            </w:pPr>
            <w:r>
              <w:rPr>
                <w:rFonts w:ascii="Arial" w:hAnsi="Arial" w:eastAsia="Arial" w:cs="Arial"/>
                <w:b/>
                <w:sz w:val="20"/>
                <w:szCs w:val="20"/>
                <w:rtl w:val="0"/>
              </w:rPr>
              <w:t xml:space="preserve">Key Data and Requirements</w:t>
            </w:r>
            <w:r>
              <w:rPr>
                <w:rFonts w:ascii="Arial" w:hAnsi="Arial" w:eastAsia="Arial" w:cs="Arial"/>
                <w:i/>
                <w:sz w:val="20"/>
                <w:szCs w:val="20"/>
                <w:u w:val="single"/>
              </w:rPr>
            </w:r>
            <w:r>
              <w:rPr>
                <w:rFonts w:ascii="Arial" w:hAnsi="Arial" w:cs="Arial"/>
                <w:i/>
                <w:sz w:val="20"/>
                <w:szCs w:val="20"/>
                <w:u w:val="single"/>
              </w:rPr>
            </w:r>
          </w:p>
        </w:tc>
      </w:tr>
      <w:tr>
        <w:trPr>
          <w:cantSplit w:val="false"/>
        </w:trPr>
        <w:tc>
          <w:tcPr>
            <w:tcBorders/>
            <w:textDirection w:val="lrTb"/>
            <w:noWrap w:val="false"/>
          </w:tcPr>
          <w:p>
            <w:pPr>
              <w:pBdr/>
              <w:spacing/>
              <w:ind/>
              <w:jc w:val="both"/>
              <w:rPr>
                <w:rFonts w:ascii="Arial" w:hAnsi="Arial" w:cs="Arial"/>
                <w:i/>
                <w:sz w:val="20"/>
                <w:szCs w:val="20"/>
                <w:u w:val="single"/>
              </w:rPr>
            </w:pPr>
            <w:r>
              <w:rPr>
                <w:rFonts w:ascii="Arial" w:hAnsi="Arial" w:eastAsia="Arial" w:cs="Arial"/>
                <w:sz w:val="20"/>
                <w:szCs w:val="20"/>
                <w:rtl w:val="0"/>
              </w:rPr>
              <w:t xml:space="preserve">1. Name and location of the facility</w:t>
            </w:r>
            <w:r>
              <w:rPr>
                <w:rFonts w:ascii="Arial" w:hAnsi="Arial" w:eastAsia="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Overhaul of the Hub Institution Mena Gymnasium of the Mena City Council, including energy efficiency measures and the creation of a new educational space </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2. Basis for design</w:t>
            </w:r>
            <w:r>
              <w:rPr>
                <w:rFonts w:ascii="Arial" w:hAnsi="Arial" w:eastAsia="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3. Type of construction</w:t>
            </w:r>
            <w:r>
              <w:rPr>
                <w:rFonts w:ascii="Arial" w:hAnsi="Arial" w:eastAsia="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Overhaul</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4. Client information</w:t>
            </w:r>
            <w:r>
              <w:rPr>
                <w:rFonts w:ascii="Arial" w:hAnsi="Arial" w:eastAsia="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Hub Institution Mena Gymnasium of the Mena City Council, </w:t>
            </w:r>
            <w:r>
              <w:rPr>
                <w:rFonts w:ascii="Arial" w:hAnsi="Arial" w:eastAsia="Arial" w:cs="Arial"/>
                <w:sz w:val="20"/>
                <w:szCs w:val="20"/>
                <w:rtl w:val="0"/>
              </w:rPr>
              <w:t xml:space="preserve">15600, Chernihiv Region, Koriukivka District, Mena City</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EDRPOU code 21406663</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5. Source of funding</w:t>
            </w:r>
            <w:r>
              <w:rPr>
                <w:rFonts w:ascii="Arial" w:hAnsi="Arial" w:eastAsia="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Donor funds, </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local budget funds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6. Design stages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Single-stage design — Working project</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7. Engineering surveys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If required:</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engineering and geodetic surveys shall be carried out by the designer in accordance with DBN А.2.1-1-2009 “Engineering Surveys for Construction”;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engineering and geodetic surveys shall be carried out by the designer in accordance with DBN А.2.1-1-2009 “Engineering Surveys for Construction”.</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8. Data on special construction conditions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9. </w:t>
            </w:r>
            <w:r>
              <w:rPr>
                <w:rFonts w:ascii="Arial" w:hAnsi="Arial" w:eastAsia="Arial" w:cs="Arial"/>
                <w:sz w:val="20"/>
                <w:szCs w:val="20"/>
                <w:rtl w:val="0"/>
              </w:rPr>
              <w:t xml:space="preserve">Construction phasing and the need to allocate start-up complexes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No phasing or start-up complexes required</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10. Determination of consequence class (liability) and design service life</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Preliminary consequence class (liability) — C3.</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general designer shall confirm the consequence class (liability) by calculation.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consequence class (liability) shall be determined in accordance with DSTU 8855:2019 “Buildings and Structures. Determination of Consequence Class (Liability)”.</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11. Key architectural and planning requirements and characteristics of the facility, including functional room groups, names and areas of the premises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design for the overhaul of the facility shall be carried out in accordance with the following design standards: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1. DBN V.2.2-9:2018 “Buildings and Structures. Public Buildings and Structures. Basic Provisions”.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2. DBN V.2.2-3:2018 “</w:t>
            </w:r>
            <w:r>
              <w:rPr>
                <w:rFonts w:ascii="Arial" w:hAnsi="Arial" w:eastAsia="Arial" w:cs="Arial"/>
                <w:sz w:val="20"/>
                <w:szCs w:val="20"/>
                <w:rtl w:val="0"/>
              </w:rPr>
              <w:t xml:space="preserve">Buildings and Structures. Educational Facilities”.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3. Other applicable regulatory and legal documents, subject to compliance with the requirements of building regulations, sanitary standards and rules governing the designated spaces (areas).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project provides for the overhaul of the existing buildings and premises of the Hub Institution Mena Gymnasium of the Mena City Council, including:</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insulation of external walls, basement plinth and cellar walls;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insulation of the attic floor slab;</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replacement of window and door units;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internal finishing works (flooring, walls, ceilings);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arrangement of paving around the building.</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In addition, the working design shall include the renovation and installation of the following engineering systems: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water supply and sewerage networks;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heating and ventilation systems;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power supply and lighting systems;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installation of safety systems (fire alarm system with information transmission to the central control panel);</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low-voltage systems and networks (internet networks with equipment).</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vAlign w:val="center"/>
            <w:textDirection w:val="lrTb"/>
            <w:noWrap w:val="false"/>
          </w:tcPr>
          <w:p>
            <w:pPr>
              <w:pBdr/>
              <w:spacing/>
              <w:ind/>
              <w:rPr>
                <w:rFonts w:ascii="Arial" w:hAnsi="Arial" w:cs="Arial"/>
                <w:i/>
                <w:sz w:val="20"/>
                <w:szCs w:val="20"/>
              </w:rPr>
            </w:pPr>
            <w:r>
              <w:rPr>
                <w:rFonts w:ascii="Arial" w:hAnsi="Arial" w:eastAsia="Arial" w:cs="Arial"/>
                <w:sz w:val="20"/>
                <w:szCs w:val="20"/>
                <w:rtl w:val="0"/>
              </w:rPr>
              <w:t xml:space="preserve">12. Capacity or characteristics of the construction facility</w:t>
            </w:r>
            <w:r>
              <w:rPr>
                <w:rFonts w:ascii="Arial" w:hAnsi="Arial" w:eastAsia="Arial" w:cs="Arial"/>
                <w:i/>
                <w:sz w:val="20"/>
                <w:szCs w:val="20"/>
              </w:rPr>
            </w:r>
            <w:r>
              <w:rPr>
                <w:rFonts w:ascii="Arial" w:hAnsi="Arial" w:cs="Arial"/>
                <w:i/>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Number of employees and educational process participants: 114 employees and 600 pupils; total number — 714 persons.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vAlign w:val="center"/>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13. Instructions regarding the need for:</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1) development of individual technical specifications;</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2) development of alternative design options;</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3) preliminary approvals of design solutions;</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4) preparation of presentation materials;</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5) performance of experimental or research works;</w:t>
            </w:r>
            <w:r>
              <w:rPr>
                <w:rFonts w:ascii="Arial" w:hAnsi="Arial" w:eastAsia="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6) technical information protection.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1) not required.</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2) not required.</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3) preliminary design solutions must be approved by the Client.</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4) not required.</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5) not required.</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6) not required.</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14. Site landscaping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Restoration of damaged paving areas.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15. Requirements for engineering protection of the site</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16. Energy saving and energy efficiency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V.2.6-31:2021 “Thermal Insulation and Energy Efficiency of Buildings”;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DSTU 9190:2022 “Energy Efficiency of Buildings. Method for Calculating Energy Consumption for Heating, Cooling, Ventilation, Lighting and Hot Water Supply”;</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other applicable regulatory and legal documents.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17. Requirements for the development of the “Environmental Impact Assessment”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18. Fire safety requirements for the facility </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19. Occupational health, safety and security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A.3.2-2-2009 “Occupational Safety Standards System. Occupational Health and Industrial Safety in Construction. Basic Provisions”;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V.1.2-9:2021 “Fundamental Requirements for Buildings and Structures. Safety and Accessibility During Use”;</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other applicable regulatory and legal documents.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20. Requirements for the development of the civil protection engineering and technical measures section (civil defence)</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21. Requirements for the development of special measures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22. Cost estimate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cost estimate documentation shall be prepared in accordance with applicable construction pricing regulations. Among other items, the cost estimates shall include the cost of construction works and the following expenditures: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business travel expenses for construction personnel to the site;</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performance of construction works during winter and summer periods;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risk coverage for all participants of the construction process;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coverage of additional expenses related to inflationary processes;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technical supervision;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architectural supervision;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expert review of design and cost estimate documentation;</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installation and dismantling of temporary structures.</w:t>
            </w:r>
            <w:r>
              <w:rPr>
                <w:rFonts w:ascii="Arial" w:hAnsi="Arial" w:eastAsia="Arial" w:cs="Arial"/>
                <w:sz w:val="20"/>
                <w:szCs w:val="20"/>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23. Submission of design documentation to the Client</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completed design and cost estimate documentation shall be delivered to the Client in three hard copies and one electronic copy, as follows:</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a copy of the design documentation in Adobe Acrobat Reader format;</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textual materials in Microsoft Word format;</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graphical materials in AutoCAD format;</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the project implementation schedule in Microsoft Project format;</w:t>
            </w:r>
            <w:r>
              <w:rPr>
                <w:rFonts w:ascii="Arial" w:hAnsi="Arial" w:eastAsia="Arial" w:cs="Arial"/>
                <w:sz w:val="20"/>
                <w:szCs w:val="20"/>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 estimates in AVK-5 software format, or in an equivalent software format with the ability to fully integrate files into AVK-5.</w:t>
            </w:r>
            <w:r>
              <w:rPr>
                <w:rFonts w:ascii="Arial" w:hAnsi="Arial" w:eastAsia="Arial" w:cs="Arial"/>
                <w:sz w:val="20"/>
                <w:szCs w:val="20"/>
              </w:rPr>
            </w:r>
            <w:r>
              <w:rPr>
                <w:rFonts w:ascii="Arial" w:hAnsi="Arial" w:eastAsia="Arial" w:cs="Arial"/>
                <w:sz w:val="20"/>
                <w:szCs w:val="20"/>
                <w14:ligatures w14:val="none"/>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r>
        <w:rPr>
          <w:rFonts w:ascii="Arial" w:hAnsi="Arial" w:eastAsia="Arial" w:cs="Arial"/>
          <w:color w:val="000000"/>
          <w:sz w:val="20"/>
          <w:szCs w:val="20"/>
        </w:rPr>
      </w:r>
    </w:p>
    <w:p>
      <w:pPr>
        <w:pStyle w:val="784"/>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pStyle w:val="784"/>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March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Menska hromada. Site visits in Ukraine are possible on a need’s basis and with the preliminary agreement of the RELEVE’s project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092046015"/>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98890218"/>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62"/>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63"/>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62">
    <w:name w:val="Heading 3 Char"/>
    <w:basedOn w:val="790"/>
    <w:link w:val="782"/>
    <w:uiPriority w:val="9"/>
    <w:pPr>
      <w:pBdr/>
      <w:spacing/>
      <w:ind/>
    </w:pPr>
    <w:rPr>
      <w:rFonts w:ascii="Arial" w:hAnsi="Arial" w:eastAsia="Arial" w:cs="Arial"/>
      <w:color w:val="0f4761" w:themeColor="accent1" w:themeShade="BF"/>
      <w:sz w:val="28"/>
      <w:szCs w:val="28"/>
    </w:rPr>
  </w:style>
  <w:style w:type="character" w:styleId="763">
    <w:name w:val="Heading 4 Char"/>
    <w:basedOn w:val="790"/>
    <w:link w:val="783"/>
    <w:uiPriority w:val="9"/>
    <w:pPr>
      <w:pBdr/>
      <w:spacing/>
      <w:ind/>
    </w:pPr>
    <w:rPr>
      <w:rFonts w:ascii="Arial" w:hAnsi="Arial" w:eastAsia="Arial" w:cs="Arial"/>
      <w:i/>
      <w:iCs/>
      <w:color w:val="0f4761" w:themeColor="accent1" w:themeShade="BF"/>
    </w:rPr>
  </w:style>
  <w:style w:type="character" w:styleId="764">
    <w:name w:val="Heading 7 Char"/>
    <w:basedOn w:val="790"/>
    <w:link w:val="787"/>
    <w:uiPriority w:val="9"/>
    <w:pPr>
      <w:pBdr/>
      <w:spacing/>
      <w:ind/>
    </w:pPr>
    <w:rPr>
      <w:rFonts w:ascii="Arial" w:hAnsi="Arial" w:eastAsia="Arial" w:cs="Arial"/>
      <w:color w:val="595959" w:themeColor="text1" w:themeTint="A6"/>
    </w:rPr>
  </w:style>
  <w:style w:type="character" w:styleId="765">
    <w:name w:val="Heading 8 Char"/>
    <w:basedOn w:val="790"/>
    <w:link w:val="788"/>
    <w:uiPriority w:val="9"/>
    <w:pPr>
      <w:pBdr/>
      <w:spacing/>
      <w:ind/>
    </w:pPr>
    <w:rPr>
      <w:rFonts w:ascii="Arial" w:hAnsi="Arial" w:eastAsia="Arial" w:cs="Arial"/>
      <w:i/>
      <w:iCs/>
      <w:color w:val="272727" w:themeColor="text1" w:themeTint="D8"/>
    </w:rPr>
  </w:style>
  <w:style w:type="character" w:styleId="766">
    <w:name w:val="Heading 9 Char"/>
    <w:basedOn w:val="790"/>
    <w:link w:val="789"/>
    <w:uiPriority w:val="9"/>
    <w:pPr>
      <w:pBdr/>
      <w:spacing/>
      <w:ind/>
    </w:pPr>
    <w:rPr>
      <w:rFonts w:ascii="Arial" w:hAnsi="Arial" w:eastAsia="Arial" w:cs="Arial"/>
      <w:i/>
      <w:iCs/>
      <w:color w:val="272727" w:themeColor="text1" w:themeTint="D8"/>
    </w:rPr>
  </w:style>
  <w:style w:type="character" w:styleId="767">
    <w:name w:val="Title Char"/>
    <w:basedOn w:val="790"/>
    <w:link w:val="786"/>
    <w:uiPriority w:val="10"/>
    <w:pPr>
      <w:pBdr/>
      <w:spacing/>
      <w:ind/>
    </w:pPr>
    <w:rPr>
      <w:rFonts w:ascii="Arial" w:hAnsi="Arial" w:eastAsia="Arial" w:cs="Arial"/>
      <w:spacing w:val="-10"/>
      <w:sz w:val="56"/>
      <w:szCs w:val="56"/>
    </w:rPr>
  </w:style>
  <w:style w:type="character" w:styleId="768">
    <w:name w:val="Subtitle Char"/>
    <w:basedOn w:val="790"/>
    <w:link w:val="987"/>
    <w:uiPriority w:val="11"/>
    <w:pPr>
      <w:pBdr/>
      <w:spacing/>
      <w:ind/>
    </w:pPr>
    <w:rPr>
      <w:color w:val="595959" w:themeColor="text1" w:themeTint="A6"/>
      <w:spacing w:val="15"/>
      <w:sz w:val="28"/>
      <w:szCs w:val="28"/>
    </w:rPr>
  </w:style>
  <w:style w:type="character" w:styleId="769">
    <w:name w:val="Quote Char"/>
    <w:basedOn w:val="790"/>
    <w:link w:val="804"/>
    <w:uiPriority w:val="29"/>
    <w:pPr>
      <w:pBdr/>
      <w:spacing/>
      <w:ind/>
    </w:pPr>
    <w:rPr>
      <w:i/>
      <w:iCs/>
      <w:color w:val="404040" w:themeColor="text1" w:themeTint="BF"/>
    </w:rPr>
  </w:style>
  <w:style w:type="character" w:styleId="770">
    <w:name w:val="Intense Emphasis"/>
    <w:basedOn w:val="790"/>
    <w:uiPriority w:val="21"/>
    <w:qFormat/>
    <w:pPr>
      <w:pBdr/>
      <w:spacing/>
      <w:ind/>
    </w:pPr>
    <w:rPr>
      <w:i/>
      <w:iCs/>
      <w:color w:val="0f4761" w:themeColor="accent1" w:themeShade="BF"/>
    </w:rPr>
  </w:style>
  <w:style w:type="character" w:styleId="771">
    <w:name w:val="Intense Quote Char"/>
    <w:basedOn w:val="790"/>
    <w:link w:val="806"/>
    <w:uiPriority w:val="30"/>
    <w:pPr>
      <w:pBdr/>
      <w:spacing/>
      <w:ind/>
    </w:pPr>
    <w:rPr>
      <w:i/>
      <w:iCs/>
      <w:color w:val="0f4761" w:themeColor="accent1" w:themeShade="BF"/>
    </w:rPr>
  </w:style>
  <w:style w:type="character" w:styleId="772">
    <w:name w:val="Intense Reference"/>
    <w:basedOn w:val="790"/>
    <w:uiPriority w:val="32"/>
    <w:qFormat/>
    <w:pPr>
      <w:pBdr/>
      <w:spacing/>
      <w:ind/>
    </w:pPr>
    <w:rPr>
      <w:b/>
      <w:bCs/>
      <w:smallCaps/>
      <w:color w:val="0f4761" w:themeColor="accent1" w:themeShade="BF"/>
      <w:spacing w:val="5"/>
    </w:rPr>
  </w:style>
  <w:style w:type="character" w:styleId="773">
    <w:name w:val="Subtle Emphasis"/>
    <w:basedOn w:val="790"/>
    <w:uiPriority w:val="19"/>
    <w:qFormat/>
    <w:pPr>
      <w:pBdr/>
      <w:spacing/>
      <w:ind/>
    </w:pPr>
    <w:rPr>
      <w:i/>
      <w:iCs/>
      <w:color w:val="404040" w:themeColor="text1" w:themeTint="BF"/>
    </w:rPr>
  </w:style>
  <w:style w:type="character" w:styleId="774">
    <w:name w:val="Emphasis"/>
    <w:basedOn w:val="790"/>
    <w:uiPriority w:val="20"/>
    <w:qFormat/>
    <w:pPr>
      <w:pBdr/>
      <w:spacing/>
      <w:ind/>
    </w:pPr>
    <w:rPr>
      <w:i/>
      <w:iCs/>
    </w:rPr>
  </w:style>
  <w:style w:type="character" w:styleId="775">
    <w:name w:val="Subtle Reference"/>
    <w:basedOn w:val="790"/>
    <w:uiPriority w:val="31"/>
    <w:qFormat/>
    <w:pPr>
      <w:pBdr/>
      <w:spacing/>
      <w:ind/>
    </w:pPr>
    <w:rPr>
      <w:smallCaps/>
      <w:color w:val="5a5a5a" w:themeColor="text1" w:themeTint="A5"/>
    </w:rPr>
  </w:style>
  <w:style w:type="character" w:styleId="776">
    <w:name w:val="Book Title"/>
    <w:basedOn w:val="790"/>
    <w:uiPriority w:val="33"/>
    <w:qFormat/>
    <w:pPr>
      <w:pBdr/>
      <w:spacing/>
      <w:ind/>
    </w:pPr>
    <w:rPr>
      <w:b/>
      <w:bCs/>
      <w:i/>
      <w:iCs/>
      <w:spacing w:val="5"/>
    </w:rPr>
  </w:style>
  <w:style w:type="character" w:styleId="777">
    <w:name w:val="Endnote Text Char"/>
    <w:basedOn w:val="790"/>
    <w:link w:val="938"/>
    <w:uiPriority w:val="99"/>
    <w:semiHidden/>
    <w:pPr>
      <w:pBdr/>
      <w:spacing/>
      <w:ind/>
    </w:pPr>
    <w:rPr>
      <w:sz w:val="20"/>
      <w:szCs w:val="20"/>
    </w:rPr>
  </w:style>
  <w:style w:type="paragraph" w:styleId="778" w:default="1">
    <w:name w:val="Normal"/>
    <w:pPr>
      <w:pBdr/>
      <w:spacing/>
      <w:ind/>
    </w:pPr>
  </w:style>
  <w:style w:type="table" w:styleId="779">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80">
    <w:name w:val="Heading 1"/>
    <w:basedOn w:val="778"/>
    <w:next w:val="778"/>
    <w:pPr>
      <w:keepNext w:val="true"/>
      <w:keepLines w:val="true"/>
      <w:pBdr/>
      <w:spacing w:after="0" w:before="240"/>
      <w:ind/>
    </w:pPr>
    <w:rPr>
      <w:rFonts w:ascii="Calibri" w:hAnsi="Calibri" w:eastAsia="Calibri" w:cs="Calibri"/>
      <w:color w:val="2e75b5"/>
      <w:sz w:val="32"/>
      <w:szCs w:val="32"/>
    </w:rPr>
  </w:style>
  <w:style w:type="paragraph" w:styleId="781">
    <w:name w:val="Heading 2"/>
    <w:basedOn w:val="778"/>
    <w:next w:val="778"/>
    <w:pPr>
      <w:keepNext w:val="true"/>
      <w:keepLines w:val="true"/>
      <w:pBdr/>
      <w:spacing w:after="0" w:before="40"/>
      <w:ind/>
    </w:pPr>
    <w:rPr>
      <w:rFonts w:ascii="Calibri" w:hAnsi="Calibri" w:eastAsia="Calibri" w:cs="Calibri"/>
      <w:color w:val="2e75b5"/>
      <w:sz w:val="26"/>
      <w:szCs w:val="26"/>
    </w:rPr>
  </w:style>
  <w:style w:type="paragraph" w:styleId="782">
    <w:name w:val="Heading 3"/>
    <w:basedOn w:val="778"/>
    <w:next w:val="778"/>
    <w:pPr>
      <w:keepNext w:val="true"/>
      <w:keepLines w:val="true"/>
      <w:pBdr/>
      <w:spacing w:after="200" w:before="320"/>
      <w:ind/>
    </w:pPr>
    <w:rPr>
      <w:rFonts w:ascii="Arial" w:hAnsi="Arial" w:eastAsia="Arial" w:cs="Arial"/>
      <w:sz w:val="30"/>
      <w:szCs w:val="30"/>
    </w:rPr>
  </w:style>
  <w:style w:type="paragraph" w:styleId="783">
    <w:name w:val="Heading 4"/>
    <w:basedOn w:val="778"/>
    <w:next w:val="778"/>
    <w:pPr>
      <w:keepNext w:val="true"/>
      <w:keepLines w:val="true"/>
      <w:pBdr/>
      <w:spacing w:after="200" w:before="320"/>
      <w:ind/>
    </w:pPr>
    <w:rPr>
      <w:rFonts w:ascii="Arial" w:hAnsi="Arial" w:eastAsia="Arial" w:cs="Arial"/>
      <w:b/>
      <w:sz w:val="26"/>
      <w:szCs w:val="26"/>
    </w:rPr>
  </w:style>
  <w:style w:type="paragraph" w:styleId="784">
    <w:name w:val="Heading 5"/>
    <w:basedOn w:val="778"/>
    <w:next w:val="778"/>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85">
    <w:name w:val="Heading 6"/>
    <w:basedOn w:val="778"/>
    <w:next w:val="778"/>
    <w:pPr>
      <w:pBdr/>
      <w:spacing w:after="60" w:before="120" w:line="240" w:lineRule="auto"/>
      <w:ind w:hanging="360" w:left="1440"/>
    </w:pPr>
    <w:rPr>
      <w:rFonts w:ascii="Times New Roman" w:hAnsi="Times New Roman" w:eastAsia="Times New Roman" w:cs="Times New Roman"/>
      <w:b/>
      <w:sz w:val="20"/>
      <w:szCs w:val="20"/>
    </w:rPr>
  </w:style>
  <w:style w:type="paragraph" w:styleId="786">
    <w:name w:val="Title"/>
    <w:basedOn w:val="778"/>
    <w:next w:val="778"/>
    <w:pPr>
      <w:pBdr/>
      <w:spacing w:after="200" w:before="300"/>
      <w:ind/>
    </w:pPr>
    <w:rPr>
      <w:sz w:val="48"/>
      <w:szCs w:val="48"/>
    </w:rPr>
  </w:style>
  <w:style w:type="paragraph" w:styleId="787">
    <w:name w:val="Heading 7"/>
    <w:basedOn w:val="778"/>
    <w:next w:val="778"/>
    <w:link w:val="799"/>
    <w:uiPriority w:val="9"/>
    <w:unhideWhenUsed/>
    <w:qFormat/>
    <w:pPr>
      <w:keepNext w:val="true"/>
      <w:keepLines w:val="true"/>
      <w:pBdr/>
      <w:spacing w:after="200" w:before="320"/>
      <w:ind/>
      <w:outlineLvl w:val="6"/>
    </w:pPr>
    <w:rPr>
      <w:rFonts w:ascii="Arial" w:hAnsi="Arial" w:eastAsia="Arial" w:cs="Arial"/>
      <w:b/>
      <w:bCs/>
      <w:i/>
      <w:iCs/>
    </w:rPr>
  </w:style>
  <w:style w:type="paragraph" w:styleId="788">
    <w:name w:val="Heading 8"/>
    <w:basedOn w:val="778"/>
    <w:next w:val="778"/>
    <w:link w:val="800"/>
    <w:uiPriority w:val="9"/>
    <w:unhideWhenUsed/>
    <w:qFormat/>
    <w:pPr>
      <w:keepNext w:val="true"/>
      <w:keepLines w:val="true"/>
      <w:pBdr/>
      <w:spacing w:after="200" w:before="320"/>
      <w:ind/>
      <w:outlineLvl w:val="7"/>
    </w:pPr>
    <w:rPr>
      <w:rFonts w:ascii="Arial" w:hAnsi="Arial" w:eastAsia="Arial" w:cs="Arial"/>
      <w:i/>
      <w:iCs/>
    </w:rPr>
  </w:style>
  <w:style w:type="paragraph" w:styleId="789">
    <w:name w:val="Heading 9"/>
    <w:basedOn w:val="778"/>
    <w:next w:val="778"/>
    <w:link w:val="801"/>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90" w:default="1">
    <w:name w:val="Default Paragraph Font"/>
    <w:uiPriority w:val="1"/>
    <w:semiHidden/>
    <w:unhideWhenUsed/>
    <w:pPr>
      <w:pBdr/>
      <w:spacing/>
      <w:ind/>
    </w:pPr>
  </w:style>
  <w:style w:type="table" w:styleId="79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2" w:default="1">
    <w:name w:val="No List"/>
    <w:uiPriority w:val="99"/>
    <w:semiHidden/>
    <w:unhideWhenUsed/>
    <w:pPr>
      <w:pBdr/>
      <w:spacing/>
      <w:ind/>
    </w:pPr>
  </w:style>
  <w:style w:type="character" w:styleId="793" w:customStyle="1">
    <w:name w:val="Heading 1 Char"/>
    <w:basedOn w:val="790"/>
    <w:uiPriority w:val="9"/>
    <w:pPr>
      <w:pBdr/>
      <w:spacing/>
      <w:ind/>
    </w:pPr>
    <w:rPr>
      <w:rFonts w:ascii="Arial" w:hAnsi="Arial" w:eastAsia="Arial" w:cs="Arial"/>
      <w:sz w:val="40"/>
      <w:szCs w:val="40"/>
    </w:rPr>
  </w:style>
  <w:style w:type="character" w:styleId="794" w:customStyle="1">
    <w:name w:val="Heading 2 Char"/>
    <w:basedOn w:val="790"/>
    <w:uiPriority w:val="9"/>
    <w:pPr>
      <w:pBdr/>
      <w:spacing/>
      <w:ind/>
    </w:pPr>
    <w:rPr>
      <w:rFonts w:ascii="Arial" w:hAnsi="Arial" w:eastAsia="Arial" w:cs="Arial"/>
      <w:sz w:val="34"/>
    </w:rPr>
  </w:style>
  <w:style w:type="character" w:styleId="795" w:customStyle="1">
    <w:name w:val="Titre 3 Car"/>
    <w:basedOn w:val="790"/>
    <w:uiPriority w:val="9"/>
    <w:pPr>
      <w:pBdr/>
      <w:spacing/>
      <w:ind/>
    </w:pPr>
    <w:rPr>
      <w:rFonts w:ascii="Arial" w:hAnsi="Arial" w:eastAsia="Arial" w:cs="Arial"/>
      <w:sz w:val="30"/>
      <w:szCs w:val="30"/>
    </w:rPr>
  </w:style>
  <w:style w:type="character" w:styleId="796" w:customStyle="1">
    <w:name w:val="Titre 4 Car"/>
    <w:basedOn w:val="790"/>
    <w:uiPriority w:val="9"/>
    <w:pPr>
      <w:pBdr/>
      <w:spacing/>
      <w:ind/>
    </w:pPr>
    <w:rPr>
      <w:rFonts w:ascii="Arial" w:hAnsi="Arial" w:eastAsia="Arial" w:cs="Arial"/>
      <w:b/>
      <w:bCs/>
      <w:sz w:val="26"/>
      <w:szCs w:val="26"/>
    </w:rPr>
  </w:style>
  <w:style w:type="character" w:styleId="797" w:customStyle="1">
    <w:name w:val="Heading 5 Char"/>
    <w:basedOn w:val="790"/>
    <w:uiPriority w:val="9"/>
    <w:pPr>
      <w:pBdr/>
      <w:spacing/>
      <w:ind/>
    </w:pPr>
    <w:rPr>
      <w:rFonts w:ascii="Arial" w:hAnsi="Arial" w:eastAsia="Arial" w:cs="Arial"/>
      <w:b/>
      <w:bCs/>
      <w:sz w:val="24"/>
      <w:szCs w:val="24"/>
    </w:rPr>
  </w:style>
  <w:style w:type="character" w:styleId="798" w:customStyle="1">
    <w:name w:val="Heading 6 Char"/>
    <w:basedOn w:val="790"/>
    <w:uiPriority w:val="9"/>
    <w:pPr>
      <w:pBdr/>
      <w:spacing/>
      <w:ind/>
    </w:pPr>
    <w:rPr>
      <w:rFonts w:ascii="Arial" w:hAnsi="Arial" w:eastAsia="Arial" w:cs="Arial"/>
      <w:b/>
      <w:bCs/>
      <w:sz w:val="22"/>
      <w:szCs w:val="22"/>
    </w:rPr>
  </w:style>
  <w:style w:type="character" w:styleId="799" w:customStyle="1">
    <w:name w:val="Titre 7 Car"/>
    <w:basedOn w:val="790"/>
    <w:link w:val="787"/>
    <w:uiPriority w:val="9"/>
    <w:pPr>
      <w:pBdr/>
      <w:spacing/>
      <w:ind/>
    </w:pPr>
    <w:rPr>
      <w:rFonts w:ascii="Arial" w:hAnsi="Arial" w:eastAsia="Arial" w:cs="Arial"/>
      <w:b/>
      <w:bCs/>
      <w:i/>
      <w:iCs/>
      <w:sz w:val="22"/>
      <w:szCs w:val="22"/>
    </w:rPr>
  </w:style>
  <w:style w:type="character" w:styleId="800" w:customStyle="1">
    <w:name w:val="Titre 8 Car"/>
    <w:basedOn w:val="790"/>
    <w:link w:val="788"/>
    <w:uiPriority w:val="9"/>
    <w:pPr>
      <w:pBdr/>
      <w:spacing/>
      <w:ind/>
    </w:pPr>
    <w:rPr>
      <w:rFonts w:ascii="Arial" w:hAnsi="Arial" w:eastAsia="Arial" w:cs="Arial"/>
      <w:i/>
      <w:iCs/>
      <w:sz w:val="22"/>
      <w:szCs w:val="22"/>
    </w:rPr>
  </w:style>
  <w:style w:type="character" w:styleId="801" w:customStyle="1">
    <w:name w:val="Titre 9 Car"/>
    <w:basedOn w:val="790"/>
    <w:link w:val="789"/>
    <w:uiPriority w:val="9"/>
    <w:pPr>
      <w:pBdr/>
      <w:spacing/>
      <w:ind/>
    </w:pPr>
    <w:rPr>
      <w:rFonts w:ascii="Arial" w:hAnsi="Arial" w:eastAsia="Arial" w:cs="Arial"/>
      <w:i/>
      <w:iCs/>
      <w:sz w:val="21"/>
      <w:szCs w:val="21"/>
    </w:rPr>
  </w:style>
  <w:style w:type="character" w:styleId="802" w:customStyle="1">
    <w:name w:val="Titre Car"/>
    <w:basedOn w:val="790"/>
    <w:uiPriority w:val="10"/>
    <w:pPr>
      <w:pBdr/>
      <w:spacing/>
      <w:ind/>
    </w:pPr>
    <w:rPr>
      <w:sz w:val="48"/>
      <w:szCs w:val="48"/>
    </w:rPr>
  </w:style>
  <w:style w:type="character" w:styleId="803" w:customStyle="1">
    <w:name w:val="Sous-titre Car"/>
    <w:basedOn w:val="790"/>
    <w:uiPriority w:val="11"/>
    <w:pPr>
      <w:pBdr/>
      <w:spacing/>
      <w:ind/>
    </w:pPr>
    <w:rPr>
      <w:sz w:val="24"/>
      <w:szCs w:val="24"/>
    </w:rPr>
  </w:style>
  <w:style w:type="paragraph" w:styleId="804">
    <w:name w:val="Quote"/>
    <w:basedOn w:val="778"/>
    <w:next w:val="778"/>
    <w:link w:val="805"/>
    <w:uiPriority w:val="29"/>
    <w:qFormat/>
    <w:pPr>
      <w:pBdr/>
      <w:spacing/>
      <w:ind w:right="720" w:left="720"/>
    </w:pPr>
    <w:rPr>
      <w:i/>
    </w:rPr>
  </w:style>
  <w:style w:type="character" w:styleId="805" w:customStyle="1">
    <w:name w:val="Citation Car"/>
    <w:link w:val="804"/>
    <w:uiPriority w:val="29"/>
    <w:pPr>
      <w:pBdr/>
      <w:spacing/>
      <w:ind/>
    </w:pPr>
    <w:rPr>
      <w:i/>
    </w:rPr>
  </w:style>
  <w:style w:type="paragraph" w:styleId="806">
    <w:name w:val="Intense Quote"/>
    <w:basedOn w:val="778"/>
    <w:next w:val="778"/>
    <w:link w:val="80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07" w:customStyle="1">
    <w:name w:val="Citation intense Car"/>
    <w:link w:val="806"/>
    <w:uiPriority w:val="30"/>
    <w:pPr>
      <w:pBdr/>
      <w:spacing/>
      <w:ind/>
    </w:pPr>
    <w:rPr>
      <w:i/>
    </w:rPr>
  </w:style>
  <w:style w:type="character" w:styleId="808" w:customStyle="1">
    <w:name w:val="Header Char"/>
    <w:basedOn w:val="790"/>
    <w:uiPriority w:val="99"/>
    <w:pPr>
      <w:pBdr/>
      <w:spacing/>
      <w:ind/>
    </w:pPr>
  </w:style>
  <w:style w:type="character" w:styleId="809" w:customStyle="1">
    <w:name w:val="Footer Char"/>
    <w:basedOn w:val="790"/>
    <w:uiPriority w:val="99"/>
    <w:pPr>
      <w:pBdr/>
      <w:spacing/>
      <w:ind/>
    </w:pPr>
  </w:style>
  <w:style w:type="paragraph" w:styleId="810">
    <w:name w:val="Caption"/>
    <w:basedOn w:val="778"/>
    <w:next w:val="778"/>
    <w:uiPriority w:val="35"/>
    <w:semiHidden/>
    <w:unhideWhenUsed/>
    <w:qFormat/>
    <w:pPr>
      <w:pBdr/>
      <w:spacing w:line="276" w:lineRule="auto"/>
      <w:ind/>
    </w:pPr>
    <w:rPr>
      <w:b/>
      <w:bCs/>
      <w:color w:val="5b9bd5" w:themeColor="accent1"/>
      <w:sz w:val="18"/>
      <w:szCs w:val="18"/>
    </w:rPr>
  </w:style>
  <w:style w:type="character" w:styleId="811" w:customStyle="1">
    <w:name w:val="Caption Char"/>
    <w:uiPriority w:val="99"/>
    <w:pPr>
      <w:pBdr/>
      <w:spacing/>
      <w:ind/>
    </w:pPr>
  </w:style>
  <w:style w:type="table" w:styleId="812" w:customStyle="1">
    <w:name w:val="Table Grid Light"/>
    <w:basedOn w:val="791"/>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Plain Table 1"/>
    <w:basedOn w:val="791"/>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Plain Table 2"/>
    <w:basedOn w:val="791"/>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Plain Table 3"/>
    <w:basedOn w:val="791"/>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Plain Table 4"/>
    <w:basedOn w:val="791"/>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Plain Table 5"/>
    <w:basedOn w:val="791"/>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Grid Table 1 Light"/>
    <w:basedOn w:val="791"/>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1 Light - Accent 1"/>
    <w:basedOn w:val="791"/>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Grid Table 1 Light - Accent 2"/>
    <w:basedOn w:val="791"/>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1 Light - Accent 3"/>
    <w:basedOn w:val="791"/>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1 Light - Accent 4"/>
    <w:basedOn w:val="791"/>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1 Light - Accent 5"/>
    <w:basedOn w:val="791"/>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1 Light - Accent 6"/>
    <w:basedOn w:val="791"/>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Grid Table 2"/>
    <w:basedOn w:val="791"/>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2 - Accent 1"/>
    <w:basedOn w:val="791"/>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2 - Accent 2"/>
    <w:basedOn w:val="791"/>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2 - Accent 3"/>
    <w:basedOn w:val="791"/>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2 - Accent 4"/>
    <w:basedOn w:val="791"/>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2 - Accent 5"/>
    <w:basedOn w:val="791"/>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2 - Accent 6"/>
    <w:basedOn w:val="791"/>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Grid Table 3"/>
    <w:basedOn w:val="791"/>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3 - Accent 1"/>
    <w:basedOn w:val="791"/>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3 - Accent 2"/>
    <w:basedOn w:val="791"/>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3 - Accent 3"/>
    <w:basedOn w:val="791"/>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3 - Accent 4"/>
    <w:basedOn w:val="791"/>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3 - Accent 5"/>
    <w:basedOn w:val="791"/>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3 - Accent 6"/>
    <w:basedOn w:val="791"/>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4"/>
    <w:basedOn w:val="791"/>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4 - Accent 1"/>
    <w:basedOn w:val="791"/>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4 - Accent 2"/>
    <w:basedOn w:val="791"/>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4 - Accent 3"/>
    <w:basedOn w:val="791"/>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4 - Accent 4"/>
    <w:basedOn w:val="791"/>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4 - Accent 5"/>
    <w:basedOn w:val="791"/>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4 - Accent 6"/>
    <w:basedOn w:val="791"/>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5 Dark"/>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5 Dark- Accent 1"/>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5 Dark - Accent 2"/>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5 Dark - Accent 3"/>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5 Dark- Accent 4"/>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5 Dark - Accent 5"/>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5 Dark - Accent 6"/>
    <w:basedOn w:val="791"/>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6 Colorful"/>
    <w:basedOn w:val="791"/>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6 Colorful - Accent 1"/>
    <w:basedOn w:val="791"/>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6 Colorful - Accent 2"/>
    <w:basedOn w:val="791"/>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6 Colorful - Accent 3"/>
    <w:basedOn w:val="791"/>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6 Colorful - Accent 4"/>
    <w:basedOn w:val="791"/>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6 Colorful - Accent 5"/>
    <w:basedOn w:val="791"/>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6 Colorful - Accent 6"/>
    <w:basedOn w:val="791"/>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7 Colorful"/>
    <w:basedOn w:val="791"/>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7 Colorful - Accent 1"/>
    <w:basedOn w:val="791"/>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7 Colorful - Accent 2"/>
    <w:basedOn w:val="791"/>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7 Colorful - Accent 3"/>
    <w:basedOn w:val="791"/>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7 Colorful - Accent 4"/>
    <w:basedOn w:val="791"/>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7 Colorful - Accent 5"/>
    <w:basedOn w:val="791"/>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7 Colorful - Accent 6"/>
    <w:basedOn w:val="791"/>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List Table 1 Light"/>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1 Light - Accent 1"/>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st Table 1 Light - Accent 2"/>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1 Light - Accent 3"/>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1 Light - Accent 4"/>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1 Light - Accent 5"/>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1 Light - Accent 6"/>
    <w:basedOn w:val="791"/>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List Table 2"/>
    <w:basedOn w:val="791"/>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2 - Accent 1"/>
    <w:basedOn w:val="791"/>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2 - Accent 2"/>
    <w:basedOn w:val="791"/>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2 - Accent 3"/>
    <w:basedOn w:val="791"/>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2 - Accent 4"/>
    <w:basedOn w:val="791"/>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2 - Accent 5"/>
    <w:basedOn w:val="791"/>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2 - Accent 6"/>
    <w:basedOn w:val="791"/>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List Table 3"/>
    <w:basedOn w:val="791"/>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3 - Accent 1"/>
    <w:basedOn w:val="791"/>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3 - Accent 2"/>
    <w:basedOn w:val="791"/>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3 - Accent 3"/>
    <w:basedOn w:val="791"/>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3 - Accent 4"/>
    <w:basedOn w:val="791"/>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3 - Accent 5"/>
    <w:basedOn w:val="791"/>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3 - Accent 6"/>
    <w:basedOn w:val="791"/>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4"/>
    <w:basedOn w:val="791"/>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4 - Accent 1"/>
    <w:basedOn w:val="791"/>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4 - Accent 2"/>
    <w:basedOn w:val="791"/>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4 - Accent 3"/>
    <w:basedOn w:val="791"/>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4 - Accent 4"/>
    <w:basedOn w:val="791"/>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4 - Accent 5"/>
    <w:basedOn w:val="791"/>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4 - Accent 6"/>
    <w:basedOn w:val="791"/>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5 Dark"/>
    <w:basedOn w:val="791"/>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5 Dark - Accent 1"/>
    <w:basedOn w:val="791"/>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5 Dark - Accent 2"/>
    <w:basedOn w:val="791"/>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5 Dark - Accent 3"/>
    <w:basedOn w:val="791"/>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5 Dark - Accent 4"/>
    <w:basedOn w:val="791"/>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5 Dark - Accent 5"/>
    <w:basedOn w:val="791"/>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5 Dark - Accent 6"/>
    <w:basedOn w:val="791"/>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6 Colorful"/>
    <w:basedOn w:val="791"/>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6 Colorful - Accent 1"/>
    <w:basedOn w:val="791"/>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6 Colorful - Accent 2"/>
    <w:basedOn w:val="791"/>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6 Colorful - Accent 3"/>
    <w:basedOn w:val="791"/>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6 Colorful - Accent 4"/>
    <w:basedOn w:val="791"/>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6 Colorful - Accent 5"/>
    <w:basedOn w:val="791"/>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6 Colorful - Accent 6"/>
    <w:basedOn w:val="791"/>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7 Colorful"/>
    <w:basedOn w:val="791"/>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7 Colorful - Accent 1"/>
    <w:basedOn w:val="791"/>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7 Colorful - Accent 2"/>
    <w:basedOn w:val="791"/>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7 Colorful - Accent 3"/>
    <w:basedOn w:val="791"/>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7 Colorful - Accent 4"/>
    <w:basedOn w:val="791"/>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7 Colorful - Accent 5"/>
    <w:basedOn w:val="791"/>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7 Colorful - Accent 6"/>
    <w:basedOn w:val="791"/>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ned - Accent"/>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ned - Accent 1"/>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ned - Accent 2"/>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ned - Accent 3"/>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ned - Accent 4"/>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ned - Accent 5"/>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ned - Accent 6"/>
    <w:basedOn w:val="791"/>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Bordered &amp; Lined - Accent"/>
    <w:basedOn w:val="791"/>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Bordered &amp; Lined - Accent 1"/>
    <w:basedOn w:val="791"/>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Bordered &amp; Lined - Accent 2"/>
    <w:basedOn w:val="791"/>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Bordered &amp; Lined - Accent 3"/>
    <w:basedOn w:val="791"/>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Bordered &amp; Lined - Accent 4"/>
    <w:basedOn w:val="791"/>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Bordered &amp; Lined - Accent 5"/>
    <w:basedOn w:val="791"/>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Bordered &amp; Lined - Accent 6"/>
    <w:basedOn w:val="791"/>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Bordered"/>
    <w:basedOn w:val="791"/>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 Accent 1"/>
    <w:basedOn w:val="791"/>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 Accent 2"/>
    <w:basedOn w:val="791"/>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 Accent 3"/>
    <w:basedOn w:val="791"/>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 Accent 4"/>
    <w:basedOn w:val="791"/>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 Accent 5"/>
    <w:basedOn w:val="791"/>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 Accent 6"/>
    <w:basedOn w:val="791"/>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37" w:customStyle="1">
    <w:name w:val="Footnote Text Char"/>
    <w:uiPriority w:val="99"/>
    <w:pPr>
      <w:pBdr/>
      <w:spacing/>
      <w:ind/>
    </w:pPr>
    <w:rPr>
      <w:sz w:val="18"/>
    </w:rPr>
  </w:style>
  <w:style w:type="paragraph" w:styleId="938">
    <w:name w:val="endnote text"/>
    <w:basedOn w:val="778"/>
    <w:link w:val="939"/>
    <w:uiPriority w:val="99"/>
    <w:semiHidden/>
    <w:unhideWhenUsed/>
    <w:pPr>
      <w:pBdr/>
      <w:spacing w:after="0" w:line="240" w:lineRule="auto"/>
      <w:ind/>
    </w:pPr>
    <w:rPr>
      <w:sz w:val="20"/>
    </w:rPr>
  </w:style>
  <w:style w:type="character" w:styleId="939" w:customStyle="1">
    <w:name w:val="Note de fin Car"/>
    <w:link w:val="938"/>
    <w:uiPriority w:val="99"/>
    <w:pPr>
      <w:pBdr/>
      <w:spacing/>
      <w:ind/>
    </w:pPr>
    <w:rPr>
      <w:sz w:val="20"/>
    </w:rPr>
  </w:style>
  <w:style w:type="character" w:styleId="940">
    <w:name w:val="endnote reference"/>
    <w:basedOn w:val="790"/>
    <w:uiPriority w:val="99"/>
    <w:semiHidden/>
    <w:unhideWhenUsed/>
    <w:pPr>
      <w:pBdr/>
      <w:spacing/>
      <w:ind/>
    </w:pPr>
    <w:rPr>
      <w:vertAlign w:val="superscript"/>
    </w:rPr>
  </w:style>
  <w:style w:type="paragraph" w:styleId="941">
    <w:name w:val="toc 1"/>
    <w:basedOn w:val="778"/>
    <w:next w:val="778"/>
    <w:uiPriority w:val="39"/>
    <w:unhideWhenUsed/>
    <w:pPr>
      <w:pBdr/>
      <w:spacing w:after="57"/>
      <w:ind/>
    </w:pPr>
  </w:style>
  <w:style w:type="paragraph" w:styleId="942">
    <w:name w:val="toc 3"/>
    <w:basedOn w:val="778"/>
    <w:next w:val="778"/>
    <w:uiPriority w:val="39"/>
    <w:unhideWhenUsed/>
    <w:pPr>
      <w:pBdr/>
      <w:spacing w:after="57"/>
      <w:ind w:left="567"/>
    </w:pPr>
  </w:style>
  <w:style w:type="paragraph" w:styleId="943">
    <w:name w:val="toc 4"/>
    <w:basedOn w:val="778"/>
    <w:next w:val="778"/>
    <w:uiPriority w:val="39"/>
    <w:unhideWhenUsed/>
    <w:pPr>
      <w:pBdr/>
      <w:spacing w:after="57"/>
      <w:ind w:left="850"/>
    </w:pPr>
  </w:style>
  <w:style w:type="paragraph" w:styleId="944">
    <w:name w:val="toc 5"/>
    <w:basedOn w:val="778"/>
    <w:next w:val="778"/>
    <w:uiPriority w:val="39"/>
    <w:unhideWhenUsed/>
    <w:pPr>
      <w:pBdr/>
      <w:spacing w:after="57"/>
      <w:ind w:left="1134"/>
    </w:pPr>
  </w:style>
  <w:style w:type="paragraph" w:styleId="945">
    <w:name w:val="toc 6"/>
    <w:basedOn w:val="778"/>
    <w:next w:val="778"/>
    <w:uiPriority w:val="39"/>
    <w:unhideWhenUsed/>
    <w:pPr>
      <w:pBdr/>
      <w:spacing w:after="57"/>
      <w:ind w:left="1417"/>
    </w:pPr>
  </w:style>
  <w:style w:type="paragraph" w:styleId="946">
    <w:name w:val="toc 7"/>
    <w:basedOn w:val="778"/>
    <w:next w:val="778"/>
    <w:uiPriority w:val="39"/>
    <w:unhideWhenUsed/>
    <w:pPr>
      <w:pBdr/>
      <w:spacing w:after="57"/>
      <w:ind w:left="1701"/>
    </w:pPr>
  </w:style>
  <w:style w:type="paragraph" w:styleId="947">
    <w:name w:val="toc 8"/>
    <w:basedOn w:val="778"/>
    <w:next w:val="778"/>
    <w:uiPriority w:val="39"/>
    <w:unhideWhenUsed/>
    <w:pPr>
      <w:pBdr/>
      <w:spacing w:after="57"/>
      <w:ind w:left="1984"/>
    </w:pPr>
  </w:style>
  <w:style w:type="paragraph" w:styleId="948">
    <w:name w:val="toc 9"/>
    <w:basedOn w:val="778"/>
    <w:next w:val="778"/>
    <w:uiPriority w:val="39"/>
    <w:unhideWhenUsed/>
    <w:pPr>
      <w:pBdr/>
      <w:spacing w:after="57"/>
      <w:ind w:left="2268"/>
    </w:pPr>
  </w:style>
  <w:style w:type="paragraph" w:styleId="949">
    <w:name w:val="table of figures"/>
    <w:basedOn w:val="778"/>
    <w:next w:val="778"/>
    <w:uiPriority w:val="99"/>
    <w:unhideWhenUsed/>
    <w:pPr>
      <w:pBdr/>
      <w:spacing w:after="0"/>
      <w:ind/>
    </w:pPr>
  </w:style>
  <w:style w:type="character" w:styleId="950" w:customStyle="1">
    <w:name w:val="Titre 2 Car"/>
    <w:basedOn w:val="790"/>
    <w:uiPriority w:val="9"/>
    <w:pPr>
      <w:pBdr/>
      <w:spacing/>
      <w:ind/>
    </w:pPr>
    <w:rPr>
      <w:rFonts w:asciiTheme="majorHAnsi" w:hAnsiTheme="majorHAnsi" w:eastAsiaTheme="majorEastAsia" w:cstheme="majorBidi"/>
      <w:color w:val="2e74b5" w:themeColor="accent1" w:themeShade="00"/>
      <w:sz w:val="26"/>
      <w:szCs w:val="26"/>
    </w:rPr>
  </w:style>
  <w:style w:type="character" w:styleId="951" w:customStyle="1">
    <w:name w:val="Titre 5 Car"/>
    <w:basedOn w:val="790"/>
    <w:pPr>
      <w:pBdr/>
      <w:spacing/>
      <w:ind/>
    </w:pPr>
    <w:rPr>
      <w:rFonts w:ascii="Arial" w:hAnsi="Arial" w:eastAsia="Times New Roman" w:cs="Times New Roman"/>
      <w:sz w:val="24"/>
      <w:szCs w:val="24"/>
      <w:lang w:val="en-GB"/>
    </w:rPr>
  </w:style>
  <w:style w:type="character" w:styleId="952" w:customStyle="1">
    <w:name w:val="Titre 6 Car"/>
    <w:basedOn w:val="790"/>
    <w:pPr>
      <w:pBdr/>
      <w:spacing/>
      <w:ind/>
    </w:pPr>
    <w:rPr>
      <w:rFonts w:ascii="Times New Roman" w:hAnsi="Times New Roman" w:eastAsia="Times New Roman" w:cs="Times New Roman"/>
      <w:b/>
      <w:sz w:val="20"/>
      <w:szCs w:val="18"/>
      <w:lang w:val="en-GB" w:eastAsia="fr-FR"/>
    </w:rPr>
  </w:style>
  <w:style w:type="paragraph" w:styleId="953">
    <w:name w:val="Normal (Web)"/>
    <w:basedOn w:val="778"/>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54">
    <w:name w:val="Strong"/>
    <w:basedOn w:val="790"/>
    <w:uiPriority w:val="22"/>
    <w:qFormat/>
    <w:pPr>
      <w:pBdr/>
      <w:spacing/>
      <w:ind/>
    </w:pPr>
    <w:rPr>
      <w:b/>
      <w:bCs/>
    </w:rPr>
  </w:style>
  <w:style w:type="character" w:styleId="955">
    <w:name w:val="Hyperlink"/>
    <w:basedOn w:val="790"/>
    <w:uiPriority w:val="99"/>
    <w:unhideWhenUsed/>
    <w:pPr>
      <w:pBdr/>
      <w:spacing/>
      <w:ind/>
    </w:pPr>
    <w:rPr>
      <w:color w:val="0000ff"/>
      <w:u w:val="single"/>
    </w:rPr>
  </w:style>
  <w:style w:type="paragraph" w:styleId="956">
    <w:name w:val="List Paragraph"/>
    <w:basedOn w:val="778"/>
    <w:uiPriority w:val="34"/>
    <w:qFormat/>
    <w:pPr>
      <w:pBdr/>
      <w:spacing/>
      <w:ind w:left="720"/>
      <w:contextualSpacing w:val="true"/>
    </w:pPr>
  </w:style>
  <w:style w:type="paragraph" w:styleId="957">
    <w:name w:val="No Spacing"/>
    <w:uiPriority w:val="1"/>
    <w:qFormat/>
    <w:pPr>
      <w:pBdr/>
      <w:spacing w:after="0" w:line="240" w:lineRule="auto"/>
      <w:ind/>
    </w:pPr>
  </w:style>
  <w:style w:type="character" w:styleId="958" w:customStyle="1">
    <w:name w:val="Titre 1 Car"/>
    <w:basedOn w:val="790"/>
    <w:uiPriority w:val="9"/>
    <w:pPr>
      <w:pBdr/>
      <w:spacing/>
      <w:ind/>
    </w:pPr>
    <w:rPr>
      <w:rFonts w:asciiTheme="majorHAnsi" w:hAnsiTheme="majorHAnsi" w:eastAsiaTheme="majorEastAsia" w:cstheme="majorBidi"/>
      <w:color w:val="2e74b5" w:themeColor="accent1" w:themeShade="00"/>
      <w:sz w:val="32"/>
      <w:szCs w:val="32"/>
    </w:rPr>
  </w:style>
  <w:style w:type="paragraph" w:styleId="959">
    <w:name w:val="TOC Heading"/>
    <w:next w:val="778"/>
    <w:uiPriority w:val="39"/>
    <w:unhideWhenUsed/>
    <w:qFormat/>
    <w:pPr>
      <w:pBdr/>
      <w:spacing/>
      <w:ind/>
      <w:outlineLvl w:val="9"/>
    </w:pPr>
  </w:style>
  <w:style w:type="paragraph" w:styleId="960">
    <w:name w:val="Body Text"/>
    <w:basedOn w:val="778"/>
    <w:link w:val="961"/>
    <w:pPr>
      <w:pBdr/>
      <w:spacing w:after="60" w:line="240" w:lineRule="auto"/>
      <w:ind w:left="142"/>
      <w:jc w:val="both"/>
    </w:pPr>
    <w:rPr>
      <w:rFonts w:ascii="Times New Roman" w:hAnsi="Times New Roman" w:eastAsia="Times New Roman" w:cs="Times New Roman"/>
      <w:szCs w:val="24"/>
      <w:lang w:eastAsia="fr-FR"/>
    </w:rPr>
  </w:style>
  <w:style w:type="character" w:styleId="961" w:customStyle="1">
    <w:name w:val="Corps de texte Car"/>
    <w:basedOn w:val="790"/>
    <w:link w:val="960"/>
    <w:pPr>
      <w:pBdr/>
      <w:spacing/>
      <w:ind/>
    </w:pPr>
    <w:rPr>
      <w:rFonts w:ascii="Times New Roman" w:hAnsi="Times New Roman" w:eastAsia="Times New Roman" w:cs="Times New Roman"/>
      <w:szCs w:val="24"/>
      <w:lang w:val="en-GB" w:eastAsia="fr-FR"/>
    </w:rPr>
  </w:style>
  <w:style w:type="paragraph" w:styleId="962" w:customStyle="1">
    <w:name w:val="retrait 0"/>
    <w:basedOn w:val="969"/>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63" w:customStyle="1">
    <w:name w:val="retrait 2"/>
    <w:basedOn w:val="778"/>
    <w:pPr>
      <w:numPr>
        <w:numId w:val="4"/>
      </w:numPr>
      <w:pBdr/>
      <w:spacing w:after="60" w:line="240" w:lineRule="auto"/>
      <w:ind/>
      <w:jc w:val="both"/>
    </w:pPr>
    <w:rPr>
      <w:rFonts w:ascii="Times New Roman" w:hAnsi="Times New Roman" w:eastAsia="Times New Roman" w:cs="Arial"/>
      <w:szCs w:val="18"/>
      <w:lang w:eastAsia="fr-FR"/>
    </w:rPr>
  </w:style>
  <w:style w:type="paragraph" w:styleId="964">
    <w:name w:val="toc 2"/>
    <w:basedOn w:val="778"/>
    <w:next w:val="778"/>
    <w:uiPriority w:val="39"/>
    <w:unhideWhenUsed/>
    <w:pPr>
      <w:pBdr/>
      <w:spacing w:after="100"/>
      <w:ind w:left="220"/>
    </w:pPr>
  </w:style>
  <w:style w:type="paragraph" w:styleId="965">
    <w:name w:val="Header"/>
    <w:basedOn w:val="778"/>
    <w:link w:val="966"/>
    <w:uiPriority w:val="99"/>
    <w:unhideWhenUsed/>
    <w:pPr>
      <w:pBdr/>
      <w:tabs>
        <w:tab w:val="center" w:leader="none" w:pos="4536"/>
        <w:tab w:val="right" w:leader="none" w:pos="9072"/>
      </w:tabs>
      <w:spacing w:after="0" w:line="240" w:lineRule="auto"/>
      <w:ind/>
    </w:pPr>
  </w:style>
  <w:style w:type="character" w:styleId="966" w:customStyle="1">
    <w:name w:val="En-tête Car"/>
    <w:basedOn w:val="790"/>
    <w:link w:val="965"/>
    <w:uiPriority w:val="99"/>
    <w:pPr>
      <w:pBdr/>
      <w:spacing/>
      <w:ind/>
    </w:pPr>
  </w:style>
  <w:style w:type="paragraph" w:styleId="967">
    <w:name w:val="Footer"/>
    <w:basedOn w:val="778"/>
    <w:link w:val="968"/>
    <w:uiPriority w:val="99"/>
    <w:unhideWhenUsed/>
    <w:pPr>
      <w:pBdr/>
      <w:tabs>
        <w:tab w:val="center" w:leader="none" w:pos="4536"/>
        <w:tab w:val="right" w:leader="none" w:pos="9072"/>
      </w:tabs>
      <w:spacing w:after="0" w:line="240" w:lineRule="auto"/>
      <w:ind/>
    </w:pPr>
  </w:style>
  <w:style w:type="character" w:styleId="968" w:customStyle="1">
    <w:name w:val="Pied de page Car"/>
    <w:basedOn w:val="790"/>
    <w:link w:val="967"/>
    <w:uiPriority w:val="99"/>
    <w:pPr>
      <w:pBdr/>
      <w:spacing/>
      <w:ind/>
    </w:pPr>
  </w:style>
  <w:style w:type="paragraph" w:styleId="969">
    <w:name w:val="Body Text 2"/>
    <w:basedOn w:val="778"/>
    <w:link w:val="970"/>
    <w:uiPriority w:val="99"/>
    <w:semiHidden/>
    <w:unhideWhenUsed/>
    <w:pPr>
      <w:pBdr/>
      <w:spacing w:after="120" w:line="480" w:lineRule="auto"/>
      <w:ind/>
    </w:pPr>
  </w:style>
  <w:style w:type="character" w:styleId="970" w:customStyle="1">
    <w:name w:val="Corps de texte 2 Car"/>
    <w:basedOn w:val="790"/>
    <w:link w:val="969"/>
    <w:uiPriority w:val="99"/>
    <w:semiHidden/>
    <w:pPr>
      <w:pBdr/>
      <w:spacing/>
      <w:ind/>
    </w:pPr>
  </w:style>
  <w:style w:type="table" w:styleId="971">
    <w:name w:val="Table Grid"/>
    <w:basedOn w:val="791"/>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72">
    <w:name w:val="footnote text"/>
    <w:basedOn w:val="778"/>
    <w:link w:val="973"/>
    <w:uiPriority w:val="99"/>
    <w:semiHidden/>
    <w:unhideWhenUsed/>
    <w:pPr>
      <w:pBdr/>
      <w:spacing w:after="0" w:line="240" w:lineRule="auto"/>
      <w:ind/>
    </w:pPr>
    <w:rPr>
      <w:sz w:val="20"/>
      <w:szCs w:val="20"/>
    </w:rPr>
  </w:style>
  <w:style w:type="character" w:styleId="973" w:customStyle="1">
    <w:name w:val="Note de bas de page Car"/>
    <w:basedOn w:val="790"/>
    <w:link w:val="972"/>
    <w:uiPriority w:val="99"/>
    <w:semiHidden/>
    <w:pPr>
      <w:pBdr/>
      <w:spacing/>
      <w:ind/>
    </w:pPr>
    <w:rPr>
      <w:sz w:val="20"/>
      <w:szCs w:val="20"/>
    </w:rPr>
  </w:style>
  <w:style w:type="character" w:styleId="974">
    <w:name w:val="footnote reference"/>
    <w:basedOn w:val="790"/>
    <w:uiPriority w:val="99"/>
    <w:semiHidden/>
    <w:unhideWhenUsed/>
    <w:pPr>
      <w:pBdr/>
      <w:spacing/>
      <w:ind/>
    </w:pPr>
    <w:rPr>
      <w:vertAlign w:val="superscript"/>
    </w:rPr>
  </w:style>
  <w:style w:type="paragraph" w:styleId="975">
    <w:name w:val="Balloon Text"/>
    <w:basedOn w:val="778"/>
    <w:link w:val="976"/>
    <w:uiPriority w:val="99"/>
    <w:semiHidden/>
    <w:unhideWhenUsed/>
    <w:pPr>
      <w:pBdr/>
      <w:spacing w:after="0" w:line="240" w:lineRule="auto"/>
      <w:ind/>
    </w:pPr>
    <w:rPr>
      <w:rFonts w:ascii="Segoe UI" w:hAnsi="Segoe UI" w:cs="Segoe UI"/>
      <w:sz w:val="18"/>
      <w:szCs w:val="18"/>
    </w:rPr>
  </w:style>
  <w:style w:type="character" w:styleId="976" w:customStyle="1">
    <w:name w:val="Texte de bulles Car"/>
    <w:basedOn w:val="790"/>
    <w:link w:val="975"/>
    <w:uiPriority w:val="99"/>
    <w:semiHidden/>
    <w:pPr>
      <w:pBdr/>
      <w:spacing/>
      <w:ind/>
    </w:pPr>
    <w:rPr>
      <w:rFonts w:ascii="Segoe UI" w:hAnsi="Segoe UI" w:cs="Segoe UI"/>
      <w:sz w:val="18"/>
      <w:szCs w:val="18"/>
    </w:rPr>
  </w:style>
  <w:style w:type="character" w:styleId="977">
    <w:name w:val="annotation reference"/>
    <w:basedOn w:val="790"/>
    <w:uiPriority w:val="99"/>
    <w:semiHidden/>
    <w:unhideWhenUsed/>
    <w:pPr>
      <w:pBdr/>
      <w:spacing/>
      <w:ind/>
    </w:pPr>
    <w:rPr>
      <w:sz w:val="16"/>
      <w:szCs w:val="16"/>
    </w:rPr>
  </w:style>
  <w:style w:type="paragraph" w:styleId="978">
    <w:name w:val="annotation text"/>
    <w:basedOn w:val="778"/>
    <w:link w:val="979"/>
    <w:uiPriority w:val="99"/>
    <w:semiHidden/>
    <w:unhideWhenUsed/>
    <w:pPr>
      <w:pBdr/>
      <w:spacing w:line="240" w:lineRule="auto"/>
      <w:ind/>
    </w:pPr>
    <w:rPr>
      <w:sz w:val="20"/>
      <w:szCs w:val="20"/>
    </w:rPr>
  </w:style>
  <w:style w:type="character" w:styleId="979" w:customStyle="1">
    <w:name w:val="Commentaire Car"/>
    <w:basedOn w:val="790"/>
    <w:link w:val="978"/>
    <w:uiPriority w:val="99"/>
    <w:semiHidden/>
    <w:pPr>
      <w:pBdr/>
      <w:spacing/>
      <w:ind/>
    </w:pPr>
    <w:rPr>
      <w:sz w:val="20"/>
      <w:szCs w:val="20"/>
    </w:rPr>
  </w:style>
  <w:style w:type="paragraph" w:styleId="980">
    <w:name w:val="annotation subject"/>
    <w:basedOn w:val="978"/>
    <w:next w:val="978"/>
    <w:link w:val="981"/>
    <w:uiPriority w:val="99"/>
    <w:semiHidden/>
    <w:unhideWhenUsed/>
    <w:pPr>
      <w:pBdr/>
      <w:spacing/>
      <w:ind/>
    </w:pPr>
    <w:rPr>
      <w:b/>
      <w:bCs/>
    </w:rPr>
  </w:style>
  <w:style w:type="character" w:styleId="981" w:customStyle="1">
    <w:name w:val="Objet du commentaire Car"/>
    <w:basedOn w:val="979"/>
    <w:link w:val="980"/>
    <w:uiPriority w:val="99"/>
    <w:semiHidden/>
    <w:pPr>
      <w:pBdr/>
      <w:spacing/>
      <w:ind/>
    </w:pPr>
    <w:rPr>
      <w:b/>
      <w:bCs/>
      <w:sz w:val="20"/>
      <w:szCs w:val="20"/>
    </w:rPr>
  </w:style>
  <w:style w:type="paragraph" w:styleId="982">
    <w:name w:val="Revision"/>
    <w:hidden/>
    <w:uiPriority w:val="99"/>
    <w:semiHidden/>
    <w:pPr>
      <w:pBdr/>
      <w:spacing w:after="0" w:line="240" w:lineRule="auto"/>
      <w:ind/>
    </w:pPr>
  </w:style>
  <w:style w:type="paragraph" w:styleId="983" w:customStyle="1">
    <w:name w:val="Default"/>
    <w:pPr>
      <w:pBdr/>
      <w:spacing w:after="0" w:line="240" w:lineRule="auto"/>
      <w:ind/>
    </w:pPr>
    <w:rPr>
      <w:rFonts w:ascii="Arial" w:hAnsi="Arial" w:cs="Arial"/>
      <w:color w:val="000000"/>
      <w:sz w:val="24"/>
      <w:szCs w:val="24"/>
    </w:rPr>
  </w:style>
  <w:style w:type="character" w:styleId="984">
    <w:name w:val="FollowedHyperlink"/>
    <w:basedOn w:val="790"/>
    <w:uiPriority w:val="99"/>
    <w:semiHidden/>
    <w:unhideWhenUsed/>
    <w:pPr>
      <w:pBdr/>
      <w:spacing/>
      <w:ind/>
    </w:pPr>
    <w:rPr>
      <w:color w:val="954f72" w:themeColor="followedHyperlink"/>
      <w:u w:val="single"/>
    </w:rPr>
  </w:style>
  <w:style w:type="character" w:styleId="985" w:customStyle="1">
    <w:name w:val="Mention non résolue1"/>
    <w:basedOn w:val="790"/>
    <w:uiPriority w:val="99"/>
    <w:semiHidden/>
    <w:unhideWhenUsed/>
    <w:pPr>
      <w:pBdr/>
      <w:spacing/>
      <w:ind/>
    </w:pPr>
    <w:rPr>
      <w:color w:val="605e5c"/>
      <w:shd w:val="clear" w:color="auto" w:fill="e1dfdd"/>
    </w:rPr>
  </w:style>
  <w:style w:type="table" w:styleId="986" w:customStyle="1">
    <w:name w:val="Grille du tableau1"/>
    <w:basedOn w:val="791"/>
    <w:next w:val="971"/>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7">
    <w:name w:val="Subtitle"/>
    <w:basedOn w:val="778"/>
    <w:next w:val="778"/>
    <w:pPr>
      <w:pBdr/>
      <w:spacing w:after="200" w:before="200"/>
      <w:ind/>
    </w:pPr>
    <w:rPr>
      <w:sz w:val="24"/>
      <w:szCs w:val="24"/>
    </w:rPr>
  </w:style>
  <w:style w:type="table" w:styleId="988">
    <w:name w:val="StGen0"/>
    <w:basedOn w:val="779"/>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name w:val="StGen1"/>
    <w:basedOn w:val="779"/>
    <w:pPr>
      <w:pBdr/>
      <w:spacing w:after="0" w:line="240" w:lineRule="auto"/>
      <w:ind/>
    </w:pPr>
    <w:tblPr>
      <w:tblStyleRowBandSize w:val="1"/>
      <w:tblStyleColBandSize w:val="1"/>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1oE4N3p8282lwQLFxNx+aG/fog==">CgMxLjAaMAoBMBIrCikIB0IlChFRdWF0dHJvY2VudG8gU2FucxIQQXJpYWwgVW5pY29kZSBNUxowCgExEisKKQgHQiUKEVF1YXR0cm9jZW50byBTYW5zEhBBcmlhbCBVbmljb2RlIE1TOAByITFVQlhYSFltSy1QanM5YUVIeWNmdVRCRFVUQ1Uta08wcg==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Andrii MARTSENIUK</cp:lastModifiedBy>
  <cp:revision>2</cp:revision>
  <dcterms:created xsi:type="dcterms:W3CDTF">2024-11-06T11:06:00Z</dcterms:created>
  <dcterms:modified xsi:type="dcterms:W3CDTF">2025-08-01T11:24:22Z</dcterms:modified>
</cp:coreProperties>
</file>